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52342"/>
          <w:sz w:val="52"/>
        </w:rPr>
        <w:t>LAPORAN PENETRATION TEST</w:t>
      </w:r>
    </w:p>
    <w:p>
      <w:pPr>
        <w:jc w:val="center"/>
      </w:pPr>
      <w:r>
        <w:rPr>
          <w:color w:val="34495E"/>
          <w:sz w:val="32"/>
        </w:rPr>
        <w:t>Aplikasi RTIK (Laravel)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6" w:space="0" w:color="D9DEE7"/>
          <w:left w:val="single" w:sz="6" w:space="0" w:color="D9DEE7"/>
          <w:bottom w:val="single" w:sz="6" w:space="0" w:color="D9DEE7"/>
          <w:right w:val="single" w:sz="6" w:space="0" w:color="D9DEE7"/>
          <w:insideH w:val="single" w:sz="6" w:space="0" w:color="D9DEE7"/>
          <w:insideV w:val="single" w:sz="6" w:space="0" w:color="D9DEE7"/>
        </w:tblBorders>
      </w:tblPr>
      <w:tblGrid>
        <w:gridCol w:w="3168"/>
        <w:gridCol w:w="6048"/>
      </w:tblGrid>
      <w:tr>
        <w:tc>
          <w:tcPr>
            <w:tcW w:type="dxa" w:w="4896"/>
            <w:shd w:fill="EEF3FB"/>
          </w:tcPr>
          <w:p>
            <w:pPr>
              <w:spacing w:after="80"/>
            </w:pPr>
            <w:r>
              <w:t>Target</w:t>
            </w:r>
          </w:p>
        </w:tc>
        <w:tc>
          <w:tcPr>
            <w:tcW w:type="dxa" w:w="4896"/>
          </w:tcPr>
          <w:p>
            <w:pPr>
              <w:spacing w:after="80"/>
            </w:pPr>
            <w:r>
              <w:t>C:\laragon\www\rtik</w:t>
            </w:r>
          </w:p>
        </w:tc>
      </w:tr>
      <w:tr>
        <w:tc>
          <w:tcPr>
            <w:tcW w:type="dxa" w:w="4896"/>
            <w:shd w:fill="EEF3FB"/>
          </w:tcPr>
          <w:p>
            <w:pPr>
              <w:spacing w:after="80"/>
            </w:pPr>
            <w:r>
              <w:t>Tanggal Uji</w:t>
            </w:r>
          </w:p>
        </w:tc>
        <w:tc>
          <w:tcPr>
            <w:tcW w:type="dxa" w:w="4896"/>
          </w:tcPr>
          <w:p>
            <w:pPr>
              <w:spacing w:after="80"/>
            </w:pPr>
            <w:r>
              <w:t>28 April 2026</w:t>
            </w:r>
          </w:p>
        </w:tc>
      </w:tr>
      <w:tr>
        <w:tc>
          <w:tcPr>
            <w:tcW w:type="dxa" w:w="4896"/>
            <w:shd w:fill="EEF3FB"/>
          </w:tcPr>
          <w:p>
            <w:pPr>
              <w:spacing w:after="80"/>
            </w:pPr>
            <w:r>
              <w:t>Metode</w:t>
            </w:r>
          </w:p>
        </w:tc>
        <w:tc>
          <w:tcPr>
            <w:tcW w:type="dxa" w:w="4896"/>
          </w:tcPr>
          <w:p>
            <w:pPr>
              <w:spacing w:after="80"/>
            </w:pPr>
            <w:r>
              <w:t>Source Code Security Review (White-box, Non-intrusive)</w:t>
            </w:r>
          </w:p>
        </w:tc>
      </w:tr>
      <w:tr>
        <w:tc>
          <w:tcPr>
            <w:tcW w:type="dxa" w:w="4896"/>
            <w:shd w:fill="EEF3FB"/>
          </w:tcPr>
          <w:p>
            <w:pPr>
              <w:spacing w:after="80"/>
            </w:pPr>
            <w:r>
              <w:t>Penguji</w:t>
            </w:r>
          </w:p>
        </w:tc>
        <w:tc>
          <w:tcPr>
            <w:tcW w:type="dxa" w:w="4896"/>
          </w:tcPr>
          <w:p>
            <w:pPr>
              <w:spacing w:after="80"/>
            </w:pPr>
            <w:r>
              <w:t>Tim Internal</w:t>
            </w:r>
          </w:p>
        </w:tc>
      </w:tr>
    </w:tbl>
    <w:p>
      <w:r>
        <w:br w:type="page"/>
      </w:r>
    </w:p>
    <w:p>
      <w:pPr>
        <w:spacing w:before="160" w:after="120"/>
      </w:pPr>
      <w:r>
        <w:rPr>
          <w:b/>
          <w:color w:val="142D5A"/>
          <w:sz w:val="32"/>
        </w:rPr>
        <w:t>Ringkasan Eksekutif</w:t>
      </w:r>
    </w:p>
    <w:p>
      <w:pPr>
        <w:spacing w:after="120" w:line="288" w:lineRule="auto"/>
      </w:pPr>
      <w:r>
        <w:t>Pengujian menemukan 1 temuan kritis, 1 tinggi, 1 menengah (sudah dimitigasi), dan 1 rendah/menengah. Prioritas utama adalah manajemen secret, hardening deployment, serta pengurangan log sensitif.</w:t>
      </w:r>
    </w:p>
    <w:p>
      <w:pPr>
        <w:spacing w:before="160" w:after="120"/>
      </w:pPr>
      <w:r>
        <w:rPr>
          <w:b/>
          <w:color w:val="142D5A"/>
          <w:sz w:val="32"/>
        </w:rPr>
        <w:t>Scope dan Metodologi</w:t>
      </w:r>
    </w:p>
    <w:p>
      <w:pPr>
        <w:spacing w:after="120" w:line="288" w:lineRule="auto"/>
      </w:pPr>
      <w:r>
        <w:t>• Review kode pada route/controller/provider utama.</w:t>
      </w:r>
    </w:p>
    <w:p>
      <w:pPr>
        <w:spacing w:after="120" w:line="288" w:lineRule="auto"/>
      </w:pPr>
      <w:r>
        <w:t>• Fokus pada autentikasi, validasi input, upload/download file, serta konfigurasi deployment.</w:t>
      </w:r>
    </w:p>
    <w:p>
      <w:pPr>
        <w:spacing w:after="120" w:line="288" w:lineRule="auto"/>
      </w:pPr>
      <w:r>
        <w:t>• Tidak mencakup uji destruktif dan stress test production.</w:t>
      </w:r>
    </w:p>
    <w:p>
      <w:pPr>
        <w:spacing w:before="160" w:after="120"/>
      </w:pPr>
      <w:r>
        <w:rPr>
          <w:b/>
          <w:color w:val="142D5A"/>
          <w:sz w:val="32"/>
        </w:rPr>
        <w:t>Ringkasan Temuan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6" w:space="0" w:color="D9DEE7"/>
          <w:left w:val="single" w:sz="6" w:space="0" w:color="D9DEE7"/>
          <w:bottom w:val="single" w:sz="6" w:space="0" w:color="D9DEE7"/>
          <w:right w:val="single" w:sz="6" w:space="0" w:color="D9DEE7"/>
          <w:insideH w:val="single" w:sz="6" w:space="0" w:color="D9DEE7"/>
          <w:insideV w:val="single" w:sz="6" w:space="0" w:color="D9DEE7"/>
        </w:tblBorders>
      </w:tblPr>
      <w:tblGrid>
        <w:gridCol w:w="1958"/>
        <w:gridCol w:w="1958"/>
        <w:gridCol w:w="1958"/>
        <w:gridCol w:w="1958"/>
        <w:gridCol w:w="1958"/>
      </w:tblGrid>
      <w:tr>
        <w:tc>
          <w:tcPr>
            <w:tcW w:type="dxa" w:w="1958"/>
            <w:shd w:fill="1E3A8A"/>
          </w:tcPr>
          <w:p>
            <w:r>
              <w:rPr>
                <w:b/>
                <w:color w:val="FFFFFF"/>
              </w:rPr>
              <w:t>ID</w:t>
            </w:r>
          </w:p>
        </w:tc>
        <w:tc>
          <w:tcPr>
            <w:tcW w:type="dxa" w:w="1958"/>
            <w:shd w:fill="1E3A8A"/>
          </w:tcPr>
          <w:p>
            <w:r>
              <w:rPr>
                <w:b/>
                <w:color w:val="FFFFFF"/>
              </w:rPr>
              <w:t>Severity</w:t>
            </w:r>
          </w:p>
        </w:tc>
        <w:tc>
          <w:tcPr>
            <w:tcW w:type="dxa" w:w="1958"/>
            <w:shd w:fill="1E3A8A"/>
          </w:tcPr>
          <w:p>
            <w:r>
              <w:rPr>
                <w:b/>
                <w:color w:val="FFFFFF"/>
              </w:rPr>
              <w:t>Temuan</w:t>
            </w:r>
          </w:p>
        </w:tc>
        <w:tc>
          <w:tcPr>
            <w:tcW w:type="dxa" w:w="1958"/>
            <w:shd w:fill="1E3A8A"/>
          </w:tcPr>
          <w:p>
            <w:r>
              <w:rPr>
                <w:b/>
                <w:color w:val="FFFFFF"/>
              </w:rPr>
              <w:t>Dampak</w:t>
            </w:r>
          </w:p>
        </w:tc>
        <w:tc>
          <w:tcPr>
            <w:tcW w:type="dxa" w:w="1958"/>
            <w:shd w:fill="1E3A8A"/>
          </w:tcPr>
          <w:p>
            <w:r>
              <w:rPr>
                <w:b/>
                <w:color w:val="FFFFFF"/>
              </w:rPr>
              <w:t>Status</w:t>
            </w:r>
          </w:p>
        </w:tc>
      </w:tr>
      <w:tr>
        <w:tc>
          <w:tcPr>
            <w:tcW w:type="dxa" w:w="1958"/>
          </w:tcPr>
          <w:p>
            <w:r>
              <w:t>F-01</w:t>
            </w:r>
          </w:p>
        </w:tc>
        <w:tc>
          <w:tcPr>
            <w:tcW w:type="dxa" w:w="1958"/>
            <w:shd w:fill="FEE2E2"/>
          </w:tcPr>
          <w:p>
            <w:r>
              <w:t>Critical</w:t>
            </w:r>
          </w:p>
        </w:tc>
        <w:tc>
          <w:tcPr>
            <w:tcW w:type="dxa" w:w="1958"/>
          </w:tcPr>
          <w:p>
            <w:r>
              <w:t>Hardcoded DB credential</w:t>
            </w:r>
          </w:p>
        </w:tc>
        <w:tc>
          <w:tcPr>
            <w:tcW w:type="dxa" w:w="1958"/>
          </w:tcPr>
          <w:p>
            <w:r>
              <w:t>Risiko akses DB tidak sah</w:t>
            </w:r>
          </w:p>
        </w:tc>
        <w:tc>
          <w:tcPr>
            <w:tcW w:type="dxa" w:w="1958"/>
          </w:tcPr>
          <w:p>
            <w:r>
              <w:t>Open</w:t>
            </w:r>
          </w:p>
        </w:tc>
      </w:tr>
      <w:tr>
        <w:tc>
          <w:tcPr>
            <w:tcW w:type="dxa" w:w="1958"/>
          </w:tcPr>
          <w:p>
            <w:r>
              <w:t>F-02</w:t>
            </w:r>
          </w:p>
        </w:tc>
        <w:tc>
          <w:tcPr>
            <w:tcW w:type="dxa" w:w="1958"/>
            <w:shd w:fill="FFEDD5"/>
          </w:tcPr>
          <w:p>
            <w:r>
              <w:t>High</w:t>
            </w:r>
          </w:p>
        </w:tc>
        <w:tc>
          <w:tcPr>
            <w:tcW w:type="dxa" w:w="1958"/>
          </w:tcPr>
          <w:p>
            <w:r>
              <w:t>Script operasional di root</w:t>
            </w:r>
          </w:p>
        </w:tc>
        <w:tc>
          <w:tcPr>
            <w:tcW w:type="dxa" w:w="1958"/>
          </w:tcPr>
          <w:p>
            <w:r>
              <w:t>Info disclosure dan abuse operasional</w:t>
            </w:r>
          </w:p>
        </w:tc>
        <w:tc>
          <w:tcPr>
            <w:tcW w:type="dxa" w:w="1958"/>
          </w:tcPr>
          <w:p>
            <w:r>
              <w:t>Open</w:t>
            </w:r>
          </w:p>
        </w:tc>
      </w:tr>
      <w:tr>
        <w:tc>
          <w:tcPr>
            <w:tcW w:type="dxa" w:w="1958"/>
          </w:tcPr>
          <w:p>
            <w:r>
              <w:t>F-03</w:t>
            </w:r>
          </w:p>
        </w:tc>
        <w:tc>
          <w:tcPr>
            <w:tcW w:type="dxa" w:w="1958"/>
            <w:shd w:fill="FEF9C3"/>
          </w:tcPr>
          <w:p>
            <w:r>
              <w:t>Medium</w:t>
            </w:r>
          </w:p>
        </w:tc>
        <w:tc>
          <w:tcPr>
            <w:tcW w:type="dxa" w:w="1958"/>
          </w:tcPr>
          <w:p>
            <w:r>
              <w:t>Brute-force login protection</w:t>
            </w:r>
          </w:p>
        </w:tc>
        <w:tc>
          <w:tcPr>
            <w:tcW w:type="dxa" w:w="1958"/>
          </w:tcPr>
          <w:p>
            <w:r>
              <w:t>Credential stuffing/brute-force</w:t>
            </w:r>
          </w:p>
        </w:tc>
        <w:tc>
          <w:tcPr>
            <w:tcW w:type="dxa" w:w="1958"/>
          </w:tcPr>
          <w:p>
            <w:r>
              <w:t>Mitigated</w:t>
            </w:r>
          </w:p>
        </w:tc>
      </w:tr>
      <w:tr>
        <w:tc>
          <w:tcPr>
            <w:tcW w:type="dxa" w:w="1958"/>
          </w:tcPr>
          <w:p>
            <w:r>
              <w:t>F-04</w:t>
            </w:r>
          </w:p>
        </w:tc>
        <w:tc>
          <w:tcPr>
            <w:tcW w:type="dxa" w:w="1958"/>
            <w:shd w:fill="E0F2FE"/>
          </w:tcPr>
          <w:p>
            <w:r>
              <w:t>Low/Med</w:t>
            </w:r>
          </w:p>
        </w:tc>
        <w:tc>
          <w:tcPr>
            <w:tcW w:type="dxa" w:w="1958"/>
          </w:tcPr>
          <w:p>
            <w:r>
              <w:t>Verbose logging upload</w:t>
            </w:r>
          </w:p>
        </w:tc>
        <w:tc>
          <w:tcPr>
            <w:tcW w:type="dxa" w:w="1958"/>
          </w:tcPr>
          <w:p>
            <w:r>
              <w:t>Potensi bocor informasi internal</w:t>
            </w:r>
          </w:p>
        </w:tc>
        <w:tc>
          <w:tcPr>
            <w:tcW w:type="dxa" w:w="1958"/>
          </w:tcPr>
          <w:p>
            <w:r>
              <w:t>Open</w:t>
            </w:r>
          </w:p>
        </w:tc>
      </w:tr>
    </w:tbl>
    <w:p>
      <w:pPr>
        <w:spacing w:before="160" w:after="120"/>
      </w:pPr>
      <w:r>
        <w:rPr>
          <w:b/>
          <w:color w:val="142D5A"/>
          <w:sz w:val="32"/>
        </w:rPr>
        <w:t>Keamanan yang Sudah Diterapkan</w:t>
      </w:r>
    </w:p>
    <w:p>
      <w:pPr>
        <w:spacing w:after="120" w:line="288" w:lineRule="auto"/>
      </w:pPr>
      <w:r>
        <w:t>• Multi-guard authentication (admin dan anggota).</w:t>
      </w:r>
    </w:p>
    <w:p>
      <w:pPr>
        <w:spacing w:after="120" w:line="288" w:lineRule="auto"/>
      </w:pPr>
      <w:r>
        <w:t>• Middleware akses berbasis peran: admin, pembina, wilayah, anggota.</w:t>
      </w:r>
    </w:p>
    <w:p>
      <w:pPr>
        <w:spacing w:after="120" w:line="288" w:lineRule="auto"/>
      </w:pPr>
      <w:r>
        <w:t>• Session hardening: regenerate session saat login; invalidate + regenerate token saat logout.</w:t>
      </w:r>
    </w:p>
    <w:p>
      <w:pPr>
        <w:spacing w:after="120" w:line="288" w:lineRule="auto"/>
      </w:pPr>
      <w:r>
        <w:t>• Validasi input request di endpoint utama.</w:t>
      </w:r>
    </w:p>
    <w:p>
      <w:pPr>
        <w:spacing w:after="120" w:line="288" w:lineRule="auto"/>
      </w:pPr>
      <w:r>
        <w:t>• Password hashing menggunakan Hash::make / Hash::check.</w:t>
      </w:r>
    </w:p>
    <w:p>
      <w:pPr>
        <w:spacing w:after="120" w:line="288" w:lineRule="auto"/>
      </w:pPr>
      <w:r>
        <w:t>• Validasi upload file (tipe, ekstensi, ukuran).</w:t>
      </w:r>
    </w:p>
    <w:p>
      <w:pPr>
        <w:spacing w:after="120" w:line="288" w:lineRule="auto"/>
      </w:pPr>
      <w:r>
        <w:t>• Rate limiting login (5 request/menit per username+IP).</w:t>
      </w:r>
    </w:p>
    <w:p>
      <w:pPr>
        <w:spacing w:after="120" w:line="288" w:lineRule="auto"/>
      </w:pPr>
      <w:r>
        <w:t>• Query parameterized via Eloquent/Query Builder.</w:t>
      </w:r>
    </w:p>
    <w:p>
      <w:pPr>
        <w:spacing w:after="120" w:line="288" w:lineRule="auto"/>
      </w:pPr>
      <w:r>
        <w:t>• Proteksi CSRF bawaan Laravel untuk request state-changing.</w:t>
      </w:r>
    </w:p>
    <w:p>
      <w:pPr>
        <w:spacing w:before="160" w:after="120"/>
      </w:pPr>
      <w:r>
        <w:rPr>
          <w:b/>
          <w:color w:val="142D5A"/>
          <w:sz w:val="32"/>
        </w:rPr>
        <w:t>Rekomendasi Prioritas (7 Hari)</w:t>
      </w:r>
    </w:p>
    <w:p>
      <w:pPr>
        <w:spacing w:after="120" w:line="288" w:lineRule="auto"/>
      </w:pPr>
      <w:r>
        <w:t>1. Rotate credential database yang pernah hardcoded dan audit riwayat distribusi secret.</w:t>
      </w:r>
    </w:p>
    <w:p>
      <w:pPr>
        <w:spacing w:after="120" w:line="288" w:lineRule="auto"/>
      </w:pPr>
      <w:r>
        <w:t>1. Pindahkan/hapus script setup dari area publik, tambahkan pembatasan akses jika masih dibutuhkan.</w:t>
      </w:r>
    </w:p>
    <w:p>
      <w:pPr>
        <w:spacing w:after="120" w:line="288" w:lineRule="auto"/>
      </w:pPr>
      <w:r>
        <w:t>1. Kurangi logging sensitif di production (masking dan log-level policy).</w:t>
      </w:r>
    </w:p>
    <w:p>
      <w:pPr>
        <w:spacing w:after="120" w:line="288" w:lineRule="auto"/>
      </w:pPr>
      <w:r>
        <w:t>1. Lakukan retest setelah remediation untuk verifikasi penutupan temuan.</w:t>
      </w:r>
    </w:p>
    <w:p>
      <w:pPr>
        <w:spacing w:before="160" w:after="120"/>
      </w:pPr>
      <w:r>
        <w:rPr>
          <w:b/>
          <w:color w:val="142D5A"/>
          <w:sz w:val="32"/>
        </w:rPr>
        <w:t>Lampiran</w:t>
      </w:r>
    </w:p>
    <w:p>
      <w:pPr>
        <w:spacing w:after="120" w:line="288" w:lineRule="auto"/>
      </w:pPr>
      <w:r>
        <w:t>Patch yang sudah diterapkan saat assessment:</w:t>
      </w:r>
    </w:p>
    <w:p>
      <w:pPr>
        <w:spacing w:after="120" w:line="288" w:lineRule="auto"/>
      </w:pPr>
      <w:r>
        <w:t>• Tambah RateLimiter::for('login') di AppServiceProvider.</w:t>
      </w:r>
    </w:p>
    <w:p>
      <w:pPr>
        <w:spacing w:after="120" w:line="288" w:lineRule="auto"/>
      </w:pPr>
      <w:r>
        <w:t>• Terapkan middleware throttle:login pada route POST login admin dan anggota.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